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mithellemGitternetz"/>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5474"/>
        <w:gridCol w:w="3195"/>
      </w:tblGrid>
      <w:tr w:rsidR="009D3C89" w14:paraId="68CDB753" w14:textId="77777777" w:rsidTr="00F80C37">
        <w:tc>
          <w:tcPr>
            <w:tcW w:w="6443" w:type="dxa"/>
            <w:gridSpan w:val="2"/>
            <w:shd w:val="clear" w:color="auto" w:fill="FFED01" w:themeFill="accent1"/>
            <w:tcMar>
              <w:top w:w="85" w:type="dxa"/>
              <w:left w:w="113" w:type="dxa"/>
              <w:bottom w:w="85" w:type="dxa"/>
              <w:right w:w="113" w:type="dxa"/>
            </w:tcMar>
          </w:tcPr>
          <w:p w14:paraId="7DCE48EA" w14:textId="349C8AA2" w:rsidR="00481A08" w:rsidRDefault="0032430C" w:rsidP="000D4EAA">
            <w:pPr>
              <w:pStyle w:val="4Lauftexta"/>
              <w:numPr>
                <w:ilvl w:val="0"/>
                <w:numId w:val="0"/>
              </w:numPr>
              <w:ind w:left="360"/>
            </w:pPr>
            <w:r>
              <w:rPr>
                <w:noProof/>
                <w:lang w:val="en-US"/>
              </w:rPr>
              <w:drawing>
                <wp:inline distT="0" distB="0" distL="0" distR="0" wp14:anchorId="747F27B7" wp14:editId="4D238088">
                  <wp:extent cx="963668" cy="550800"/>
                  <wp:effectExtent l="0" t="0" r="8255"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URwegs_balke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3668" cy="550800"/>
                          </a:xfrm>
                          <a:prstGeom prst="rect">
                            <a:avLst/>
                          </a:prstGeom>
                        </pic:spPr>
                      </pic:pic>
                    </a:graphicData>
                  </a:graphic>
                </wp:inline>
              </w:drawing>
            </w:r>
          </w:p>
        </w:tc>
        <w:tc>
          <w:tcPr>
            <w:tcW w:w="3195" w:type="dxa"/>
            <w:shd w:val="clear" w:color="auto" w:fill="FFED01" w:themeFill="accent1"/>
            <w:tcMar>
              <w:top w:w="85" w:type="dxa"/>
              <w:left w:w="57" w:type="dxa"/>
              <w:bottom w:w="85" w:type="dxa"/>
              <w:right w:w="227" w:type="dxa"/>
            </w:tcMar>
          </w:tcPr>
          <w:p w14:paraId="6DD03D54" w14:textId="1C78D2AB" w:rsidR="00481A08" w:rsidRDefault="00481A08" w:rsidP="00481A08">
            <w:pPr>
              <w:jc w:val="right"/>
            </w:pPr>
          </w:p>
        </w:tc>
      </w:tr>
      <w:tr w:rsidR="009D3C89" w:rsidRPr="00D36E13" w14:paraId="41850D60" w14:textId="77777777" w:rsidTr="00F80C37">
        <w:tc>
          <w:tcPr>
            <w:tcW w:w="969" w:type="dxa"/>
            <w:tcBorders>
              <w:bottom w:val="dotted" w:sz="8" w:space="0" w:color="808080" w:themeColor="background1" w:themeShade="80"/>
            </w:tcBorders>
            <w:shd w:val="clear" w:color="auto" w:fill="FFF799" w:themeFill="accent1" w:themeFillTint="66"/>
            <w:tcMar>
              <w:top w:w="85" w:type="dxa"/>
              <w:bottom w:w="85" w:type="dxa"/>
            </w:tcMar>
            <w:vAlign w:val="center"/>
          </w:tcPr>
          <w:p w14:paraId="36FED613" w14:textId="07D66AA2" w:rsidR="006A19CC" w:rsidRPr="00D36E13" w:rsidRDefault="004F28A4" w:rsidP="003D011C">
            <w:pPr>
              <w:spacing w:after="100" w:afterAutospacing="1"/>
              <w:jc w:val="center"/>
            </w:pPr>
            <w:r>
              <w:rPr>
                <w:noProof/>
                <w:lang w:val="en-US"/>
              </w:rPr>
              <w:drawing>
                <wp:inline distT="0" distB="0" distL="0" distR="0" wp14:anchorId="4959E41C" wp14:editId="7F36A910">
                  <wp:extent cx="457200" cy="457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669" w:type="dxa"/>
            <w:gridSpan w:val="2"/>
            <w:tcBorders>
              <w:bottom w:val="dotted" w:sz="8" w:space="0" w:color="808080" w:themeColor="background1" w:themeShade="80"/>
            </w:tcBorders>
            <w:shd w:val="clear" w:color="auto" w:fill="FFF799" w:themeFill="accent1" w:themeFillTint="66"/>
            <w:tcMar>
              <w:top w:w="85" w:type="dxa"/>
              <w:left w:w="0" w:type="dxa"/>
              <w:bottom w:w="85" w:type="dxa"/>
            </w:tcMar>
          </w:tcPr>
          <w:p w14:paraId="4E9E0902" w14:textId="5BB89159" w:rsidR="006A19CC" w:rsidRDefault="000052C9" w:rsidP="00A530AF">
            <w:pPr>
              <w:pStyle w:val="1Titel"/>
            </w:pPr>
            <w:bookmarkStart w:id="0" w:name="_Hlk16341493"/>
            <w:bookmarkEnd w:id="0"/>
            <w:r>
              <w:t>Personen</w:t>
            </w:r>
            <w:r w:rsidR="00615EE1">
              <w:t>verkehr</w:t>
            </w:r>
            <w:r w:rsidR="001C4CDF">
              <w:t xml:space="preserve">: </w:t>
            </w:r>
            <w:r w:rsidR="00F15A94">
              <w:t>Die ersten Autos in Uri</w:t>
            </w:r>
          </w:p>
          <w:p w14:paraId="69677875" w14:textId="3041635C" w:rsidR="000F2480" w:rsidRPr="003452E1" w:rsidRDefault="00A81F4D" w:rsidP="00A530AF">
            <w:pPr>
              <w:pStyle w:val="1Titel"/>
              <w:rPr>
                <w:rStyle w:val="Fett"/>
                <w:b/>
                <w:bCs w:val="0"/>
                <w:sz w:val="24"/>
                <w:szCs w:val="24"/>
              </w:rPr>
            </w:pPr>
            <w:r>
              <w:rPr>
                <w:rStyle w:val="Fett"/>
                <w:b/>
                <w:bCs w:val="0"/>
                <w:sz w:val="24"/>
                <w:szCs w:val="24"/>
              </w:rPr>
              <w:t>Informationsblatt</w:t>
            </w:r>
          </w:p>
        </w:tc>
      </w:tr>
    </w:tbl>
    <w:p w14:paraId="60F583D6" w14:textId="61E92C34" w:rsidR="007941A1" w:rsidRDefault="007941A1" w:rsidP="00B52DF1"/>
    <w:p w14:paraId="20A8563B" w14:textId="2642DE16" w:rsidR="00A81F4D" w:rsidRPr="0087524E" w:rsidRDefault="003018C4" w:rsidP="0087524E">
      <w:pPr>
        <w:pStyle w:val="2Lauftextnormal"/>
        <w:tabs>
          <w:tab w:val="clear" w:pos="340"/>
          <w:tab w:val="left" w:pos="754"/>
        </w:tabs>
        <w:spacing w:before="120" w:after="0"/>
        <w:rPr>
          <w:rStyle w:val="Fett"/>
          <w:rFonts w:ascii="Times New Roman" w:hAnsi="Times New Roman" w:cs="Times New Roman"/>
          <w:bCs w:val="0"/>
          <w:sz w:val="24"/>
          <w:szCs w:val="24"/>
        </w:rPr>
      </w:pPr>
      <w:r w:rsidRPr="003018C4">
        <w:rPr>
          <w:rStyle w:val="Fett"/>
          <w:bCs w:val="0"/>
        </w:rPr>
        <w:t xml:space="preserve">Bericht eines Franzosen namens </w:t>
      </w:r>
      <w:bookmarkStart w:id="1" w:name="_GoBack"/>
      <w:bookmarkEnd w:id="1"/>
      <w:proofErr w:type="spellStart"/>
      <w:r w:rsidR="00A81F4D" w:rsidRPr="0087524E">
        <w:rPr>
          <w:rStyle w:val="Fett"/>
          <w:bCs w:val="0"/>
        </w:rPr>
        <w:t>Arraou</w:t>
      </w:r>
      <w:proofErr w:type="spellEnd"/>
      <w:r w:rsidR="00A81F4D" w:rsidRPr="0087524E">
        <w:rPr>
          <w:rStyle w:val="Fett"/>
          <w:rFonts w:ascii="Times New Roman" w:hAnsi="Times New Roman" w:cs="Times New Roman"/>
          <w:bCs w:val="0"/>
          <w:sz w:val="24"/>
          <w:szCs w:val="24"/>
        </w:rPr>
        <w:t xml:space="preserve"> </w:t>
      </w:r>
    </w:p>
    <w:p w14:paraId="75886517" w14:textId="37E67F24" w:rsidR="00A81F4D" w:rsidRPr="0087524E" w:rsidRDefault="00A81F4D" w:rsidP="0087524E">
      <w:pPr>
        <w:pStyle w:val="2Lauftextnormal"/>
        <w:tabs>
          <w:tab w:val="clear" w:pos="340"/>
          <w:tab w:val="left" w:pos="754"/>
        </w:tabs>
        <w:spacing w:before="120" w:after="0"/>
        <w:rPr>
          <w:rStyle w:val="Fett"/>
          <w:rFonts w:ascii="Times New Roman" w:hAnsi="Times New Roman" w:cs="Times New Roman"/>
          <w:b w:val="0"/>
          <w:bCs w:val="0"/>
        </w:rPr>
      </w:pPr>
      <w:r w:rsidRPr="0087524E">
        <w:rPr>
          <w:rStyle w:val="Fett"/>
          <w:rFonts w:ascii="Times New Roman" w:hAnsi="Times New Roman" w:cs="Times New Roman"/>
          <w:b w:val="0"/>
          <w:bCs w:val="0"/>
        </w:rPr>
        <w:t xml:space="preserve">«In Göschenen wurde alles Gepäck abgeladen und mit der Bahn bis an die italienische Grenze geschickt; der Wagen war nun ungefähr um 50 bis 60 Kilogramm leichter. Bei den schwierigsten Stellen umhüllte leider ein dichter Nebel die Fahrer, vor der Teufelsbrücke musste abgestiegen werden und das Gefährt hinübergestossen werden. Hinter </w:t>
      </w:r>
      <w:proofErr w:type="spellStart"/>
      <w:r w:rsidRPr="0087524E">
        <w:rPr>
          <w:rStyle w:val="Fett"/>
          <w:rFonts w:ascii="Times New Roman" w:hAnsi="Times New Roman" w:cs="Times New Roman"/>
          <w:b w:val="0"/>
          <w:bCs w:val="0"/>
        </w:rPr>
        <w:t>Hospenthal</w:t>
      </w:r>
      <w:proofErr w:type="spellEnd"/>
      <w:r w:rsidRPr="0087524E">
        <w:rPr>
          <w:rStyle w:val="Fett"/>
          <w:rFonts w:ascii="Times New Roman" w:hAnsi="Times New Roman" w:cs="Times New Roman"/>
          <w:b w:val="0"/>
          <w:bCs w:val="0"/>
        </w:rPr>
        <w:t xml:space="preserve"> wurde der Nebel so dicht, dass eine Laterne angezündet und behufs Orientierung vor dem Wagen hergetragen werden musste. Die Steigungen wuchsen, und der Motor erwies sich zu ihrer Überwindung als zu schwach, so dass der Wagen mit den Händen vorwärts gestossen wurde. Nach Überschreitung der Höhe des Gotthardpasses begann die Hinabfahrt. Die Bremsen, die unglücklicherweise Lederbekleidungen hatten, brannten innerhalb weniger Minuten. Alle Mittel wurden nun angewandt, um den Gang des Wagens zu mässigen, ein Baumstamm wurde mittelst eines eisernen Drahtes an den Wagen gebunden und nachgeschleppt, doch riss der Draht in der Folge der zu grossen Abnutzung. Da der Wind mit Heftigkeit aus dem </w:t>
      </w:r>
      <w:proofErr w:type="spellStart"/>
      <w:r w:rsidRPr="0087524E">
        <w:rPr>
          <w:rStyle w:val="Fett"/>
          <w:rFonts w:ascii="Times New Roman" w:hAnsi="Times New Roman" w:cs="Times New Roman"/>
          <w:b w:val="0"/>
          <w:bCs w:val="0"/>
        </w:rPr>
        <w:t>Tessinthal</w:t>
      </w:r>
      <w:proofErr w:type="spellEnd"/>
      <w:r w:rsidRPr="0087524E">
        <w:rPr>
          <w:rStyle w:val="Fett"/>
          <w:rFonts w:ascii="Times New Roman" w:hAnsi="Times New Roman" w:cs="Times New Roman"/>
          <w:b w:val="0"/>
          <w:bCs w:val="0"/>
        </w:rPr>
        <w:t xml:space="preserve"> wehte, wurde das Deck übergespannt, damit sich der Wind darin fange und die Schnelligkeit hemme. Der Weg führte in grossen Windungen hinunter, der Wagen kam nur ruckweise vorwärts, und schon verzweifelte man, Airolo zu erreichen, als man auf den Ausweg kam, eines der beiden Hilfsräder als Hemmschuh unterzuschieben und nachschleppen zu lassen, indem man es an dem Wagengestell befestigte und auf ein Stück Weissblech legte. So erreichte man endlich nach acht Stunden Airolo, wo einige Reparaturen nötig waren. Man fuhr dann das </w:t>
      </w:r>
      <w:proofErr w:type="spellStart"/>
      <w:r w:rsidRPr="0087524E">
        <w:rPr>
          <w:rStyle w:val="Fett"/>
          <w:rFonts w:ascii="Times New Roman" w:hAnsi="Times New Roman" w:cs="Times New Roman"/>
          <w:b w:val="0"/>
          <w:bCs w:val="0"/>
        </w:rPr>
        <w:t>Tessinthal</w:t>
      </w:r>
      <w:proofErr w:type="spellEnd"/>
      <w:r w:rsidRPr="0087524E">
        <w:rPr>
          <w:rStyle w:val="Fett"/>
          <w:rFonts w:ascii="Times New Roman" w:hAnsi="Times New Roman" w:cs="Times New Roman"/>
          <w:b w:val="0"/>
          <w:bCs w:val="0"/>
        </w:rPr>
        <w:t xml:space="preserve"> hinunter und wandte sich nach dem Lago Maggiore: unterwegs ging der Vorrat an Essenz aus und ein Pferd musste vorgespannt werden, was von der Bevölkerung natürlich mit ironischem Lächeln begleitet wurde. So wurde italienischer Boden erreicht. Zum Schluss bemerkt </w:t>
      </w:r>
      <w:proofErr w:type="spellStart"/>
      <w:r w:rsidRPr="0087524E">
        <w:rPr>
          <w:rStyle w:val="Fett"/>
          <w:rFonts w:ascii="Times New Roman" w:hAnsi="Times New Roman" w:cs="Times New Roman"/>
          <w:b w:val="0"/>
          <w:bCs w:val="0"/>
        </w:rPr>
        <w:t>Arraou</w:t>
      </w:r>
      <w:proofErr w:type="spellEnd"/>
      <w:r w:rsidRPr="0087524E">
        <w:rPr>
          <w:rStyle w:val="Fett"/>
          <w:rFonts w:ascii="Times New Roman" w:hAnsi="Times New Roman" w:cs="Times New Roman"/>
          <w:b w:val="0"/>
          <w:bCs w:val="0"/>
        </w:rPr>
        <w:t>, dass die Schweiz und Italien fast gänzlich aller der Hilfsmittel entbehren, welche die kleinste französische Gemeinde den Automobilfahrern bieten könne, nämlich Mechaniker, Essenz, Ersatzstücke usw.»</w:t>
      </w:r>
    </w:p>
    <w:p w14:paraId="0C9B2CA1" w14:textId="1091E449" w:rsidR="00A81F4D" w:rsidRDefault="00A81F4D" w:rsidP="0087524E">
      <w:pPr>
        <w:pStyle w:val="2Lauftextnormal"/>
        <w:tabs>
          <w:tab w:val="clear" w:pos="340"/>
          <w:tab w:val="left" w:pos="754"/>
        </w:tabs>
        <w:spacing w:before="120" w:after="0"/>
        <w:rPr>
          <w:rStyle w:val="Fett"/>
          <w:b w:val="0"/>
          <w:bCs w:val="0"/>
          <w:sz w:val="20"/>
          <w:szCs w:val="20"/>
        </w:rPr>
      </w:pPr>
      <w:r w:rsidRPr="00C03F1B">
        <w:rPr>
          <w:rStyle w:val="Fett"/>
          <w:b w:val="0"/>
          <w:bCs w:val="0"/>
          <w:sz w:val="20"/>
          <w:szCs w:val="20"/>
        </w:rPr>
        <w:t>(</w:t>
      </w:r>
      <w:r w:rsidRPr="00A81F4D">
        <w:rPr>
          <w:rStyle w:val="Fett"/>
          <w:bCs w:val="0"/>
          <w:sz w:val="20"/>
          <w:szCs w:val="20"/>
        </w:rPr>
        <w:t>Quelle:</w:t>
      </w:r>
      <w:r w:rsidRPr="00C03F1B">
        <w:rPr>
          <w:rStyle w:val="Fett"/>
          <w:b w:val="0"/>
          <w:bCs w:val="0"/>
          <w:sz w:val="20"/>
          <w:szCs w:val="20"/>
        </w:rPr>
        <w:t xml:space="preserve"> GP, </w:t>
      </w:r>
      <w:proofErr w:type="spellStart"/>
      <w:r w:rsidRPr="00C03F1B">
        <w:rPr>
          <w:rStyle w:val="Fett"/>
          <w:b w:val="0"/>
          <w:bCs w:val="0"/>
          <w:sz w:val="20"/>
          <w:szCs w:val="20"/>
        </w:rPr>
        <w:t>No</w:t>
      </w:r>
      <w:proofErr w:type="spellEnd"/>
      <w:r w:rsidRPr="00C03F1B">
        <w:rPr>
          <w:rStyle w:val="Fett"/>
          <w:b w:val="0"/>
          <w:bCs w:val="0"/>
          <w:sz w:val="20"/>
          <w:szCs w:val="20"/>
        </w:rPr>
        <w:t>. 32, Erstes Blatt, 10. August 1901 – zitiert in</w:t>
      </w:r>
      <w:r w:rsidR="009B3974">
        <w:rPr>
          <w:rStyle w:val="Fett"/>
          <w:b w:val="0"/>
          <w:bCs w:val="0"/>
          <w:sz w:val="20"/>
          <w:szCs w:val="20"/>
        </w:rPr>
        <w:t>:</w:t>
      </w:r>
      <w:r w:rsidRPr="00C03F1B">
        <w:rPr>
          <w:rStyle w:val="Fett"/>
          <w:b w:val="0"/>
          <w:bCs w:val="0"/>
          <w:sz w:val="20"/>
          <w:szCs w:val="20"/>
        </w:rPr>
        <w:t xml:space="preserve"> Uri und das Automobil – des Teufels späte Rache? Soziale und wirtschaftliche Auswirkungen des Automobils auf das </w:t>
      </w:r>
      <w:proofErr w:type="spellStart"/>
      <w:r w:rsidRPr="00C03F1B">
        <w:rPr>
          <w:rStyle w:val="Fett"/>
          <w:b w:val="0"/>
          <w:bCs w:val="0"/>
          <w:sz w:val="20"/>
          <w:szCs w:val="20"/>
        </w:rPr>
        <w:t>Urnerland</w:t>
      </w:r>
      <w:proofErr w:type="spellEnd"/>
      <w:r w:rsidRPr="00C03F1B">
        <w:rPr>
          <w:rStyle w:val="Fett"/>
          <w:b w:val="0"/>
          <w:bCs w:val="0"/>
          <w:sz w:val="20"/>
          <w:szCs w:val="20"/>
        </w:rPr>
        <w:t>. Von Rolf Gisler-Jauch. Verlag Gisler. 1994.)</w:t>
      </w:r>
    </w:p>
    <w:p w14:paraId="47EF6DA8" w14:textId="474E9528" w:rsidR="009B3974" w:rsidRDefault="009B3974" w:rsidP="0087524E">
      <w:pPr>
        <w:pStyle w:val="2Lauftextnormal"/>
        <w:tabs>
          <w:tab w:val="clear" w:pos="340"/>
          <w:tab w:val="left" w:pos="754"/>
        </w:tabs>
        <w:spacing w:before="120" w:after="0"/>
        <w:rPr>
          <w:rStyle w:val="Fett"/>
          <w:b w:val="0"/>
          <w:bCs w:val="0"/>
          <w:sz w:val="20"/>
          <w:szCs w:val="20"/>
        </w:rPr>
      </w:pPr>
    </w:p>
    <w:p w14:paraId="2CBCF22E" w14:textId="7FAB4EB7" w:rsidR="009B3974" w:rsidRPr="009B3974" w:rsidRDefault="009B3974" w:rsidP="0087524E">
      <w:pPr>
        <w:pStyle w:val="2Lauftextnormal"/>
        <w:tabs>
          <w:tab w:val="clear" w:pos="340"/>
          <w:tab w:val="left" w:pos="754"/>
        </w:tabs>
        <w:spacing w:before="120" w:after="0"/>
        <w:rPr>
          <w:rStyle w:val="Fett"/>
          <w:bCs w:val="0"/>
          <w:sz w:val="20"/>
          <w:szCs w:val="20"/>
        </w:rPr>
      </w:pPr>
      <w:r w:rsidRPr="009B3974">
        <w:rPr>
          <w:rStyle w:val="Fett"/>
          <w:bCs w:val="0"/>
          <w:sz w:val="20"/>
          <w:szCs w:val="20"/>
        </w:rPr>
        <w:t>Mein Erfahrungsbericht:</w:t>
      </w:r>
    </w:p>
    <w:p w14:paraId="69F7BBCA" w14:textId="10D2623E"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720F8D5B" w14:textId="243C2867"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32E6B6CF" w14:textId="10B2904B"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2D564A50" w14:textId="2691E522"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4610212B" w14:textId="579D304C"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4452BE3B" w14:textId="2A364AAD"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7FDBA443" w14:textId="45EB8796"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77BD6AF1" w14:textId="36F344BE"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2DA0EF90" w14:textId="03AC7567"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0A2096DC" w14:textId="2F7453B3"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1CBBD3CB" w14:textId="0B14624B"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280B7EBC" w14:textId="7D53DE9E" w:rsidR="009B3974" w:rsidRDefault="009B3974" w:rsidP="009B3974">
      <w:pPr>
        <w:pStyle w:val="2Lauftextnormal"/>
        <w:tabs>
          <w:tab w:val="clear" w:pos="340"/>
          <w:tab w:val="left" w:pos="0"/>
          <w:tab w:val="left" w:leader="dot" w:pos="9638"/>
        </w:tabs>
        <w:spacing w:before="120" w:after="0"/>
        <w:rPr>
          <w:rStyle w:val="Fett"/>
          <w:b w:val="0"/>
          <w:bCs w:val="0"/>
          <w:sz w:val="20"/>
          <w:szCs w:val="20"/>
        </w:rPr>
      </w:pPr>
      <w:r>
        <w:rPr>
          <w:rStyle w:val="Fett"/>
          <w:b w:val="0"/>
          <w:bCs w:val="0"/>
          <w:sz w:val="20"/>
          <w:szCs w:val="20"/>
        </w:rPr>
        <w:tab/>
      </w:r>
    </w:p>
    <w:p w14:paraId="69698865" w14:textId="79A76262" w:rsidR="00697B1E" w:rsidRPr="009B3974" w:rsidRDefault="009B3974" w:rsidP="009B3974">
      <w:pPr>
        <w:pStyle w:val="2Lauftextnormal"/>
        <w:tabs>
          <w:tab w:val="clear" w:pos="340"/>
          <w:tab w:val="left" w:pos="0"/>
          <w:tab w:val="left" w:leader="dot" w:pos="9638"/>
        </w:tabs>
        <w:spacing w:before="120" w:after="0"/>
        <w:rPr>
          <w:sz w:val="20"/>
          <w:szCs w:val="20"/>
        </w:rPr>
      </w:pPr>
      <w:r>
        <w:rPr>
          <w:rStyle w:val="Fett"/>
          <w:b w:val="0"/>
          <w:bCs w:val="0"/>
          <w:sz w:val="20"/>
          <w:szCs w:val="20"/>
        </w:rPr>
        <w:tab/>
      </w:r>
    </w:p>
    <w:p w14:paraId="7CC069FA" w14:textId="77777777" w:rsidR="00283755" w:rsidRDefault="00283755">
      <w:pPr>
        <w:tabs>
          <w:tab w:val="clear" w:pos="340"/>
        </w:tabs>
        <w:rPr>
          <w:b/>
        </w:rPr>
      </w:pPr>
      <w:r>
        <w:rPr>
          <w:b/>
        </w:rPr>
        <w:br w:type="page"/>
      </w:r>
    </w:p>
    <w:p w14:paraId="63861679" w14:textId="7F1C539B" w:rsidR="0087524E" w:rsidRDefault="0087524E" w:rsidP="00697B1E">
      <w:pPr>
        <w:tabs>
          <w:tab w:val="clear" w:pos="340"/>
        </w:tabs>
        <w:rPr>
          <w:b/>
        </w:rPr>
      </w:pPr>
      <w:r w:rsidRPr="0087524E">
        <w:rPr>
          <w:b/>
        </w:rPr>
        <w:lastRenderedPageBreak/>
        <w:t>Gesetze für die Regelung des Strassenverkehrs in Uri</w:t>
      </w:r>
    </w:p>
    <w:p w14:paraId="7CD1EBA1" w14:textId="43091777" w:rsidR="00697B1E" w:rsidRPr="00AB63AD" w:rsidRDefault="00697B1E" w:rsidP="00697B1E">
      <w:pPr>
        <w:pStyle w:val="2Lauftextnormal"/>
        <w:tabs>
          <w:tab w:val="clear" w:pos="340"/>
          <w:tab w:val="left" w:pos="754"/>
        </w:tabs>
        <w:spacing w:before="120" w:after="120"/>
        <w:rPr>
          <w:rStyle w:val="Fett"/>
          <w:b w:val="0"/>
          <w:bCs w:val="0"/>
        </w:rPr>
      </w:pPr>
      <w:r w:rsidRPr="00C03F1B">
        <w:rPr>
          <w:rStyle w:val="Fett"/>
          <w:b w:val="0"/>
          <w:bCs w:val="0"/>
        </w:rPr>
        <w:t xml:space="preserve">Auf </w:t>
      </w:r>
      <w:r>
        <w:rPr>
          <w:rStyle w:val="Fett"/>
          <w:b w:val="0"/>
          <w:bCs w:val="0"/>
        </w:rPr>
        <w:t xml:space="preserve">dem </w:t>
      </w:r>
      <w:r w:rsidRPr="00C03F1B">
        <w:rPr>
          <w:rStyle w:val="Fett"/>
          <w:b w:val="0"/>
          <w:bCs w:val="0"/>
        </w:rPr>
        <w:t>Bild 1</w:t>
      </w:r>
      <w:r>
        <w:rPr>
          <w:rStyle w:val="Fett"/>
          <w:b w:val="0"/>
          <w:bCs w:val="0"/>
        </w:rPr>
        <w:t xml:space="preserve"> </w:t>
      </w:r>
      <w:r w:rsidRPr="00C03F1B">
        <w:rPr>
          <w:rStyle w:val="Fett"/>
          <w:b w:val="0"/>
          <w:bCs w:val="0"/>
        </w:rPr>
        <w:t xml:space="preserve">seht ihr deutlich, dass die Strassen zu Beginn des 20. Jahrhunderts Orte der Begegnung waren. Nach und nach eroberte das Automobil immer mehr Terrain und Konflikte mit dem anderen Verkehrsteilnehmer entstanden. </w:t>
      </w:r>
      <w:r w:rsidR="009B3974">
        <w:rPr>
          <w:rStyle w:val="Fett"/>
          <w:b w:val="0"/>
          <w:bCs w:val="0"/>
        </w:rPr>
        <w:t>E</w:t>
      </w:r>
      <w:r w:rsidRPr="00C03F1B">
        <w:rPr>
          <w:rStyle w:val="Fett"/>
          <w:b w:val="0"/>
          <w:bCs w:val="0"/>
        </w:rPr>
        <w:t xml:space="preserve">rste Gesetze wurden in Uri gemacht, um den Strassenverkehr zu regeln:  </w:t>
      </w:r>
    </w:p>
    <w:tbl>
      <w:tblPr>
        <w:tblStyle w:val="Tabellenraster"/>
        <w:tblW w:w="9639" w:type="dxa"/>
        <w:tblInd w:w="-5" w:type="dxa"/>
        <w:tblLook w:val="04A0" w:firstRow="1" w:lastRow="0" w:firstColumn="1" w:lastColumn="0" w:noHBand="0" w:noVBand="1"/>
      </w:tblPr>
      <w:tblGrid>
        <w:gridCol w:w="1221"/>
        <w:gridCol w:w="8418"/>
      </w:tblGrid>
      <w:tr w:rsidR="0087524E" w14:paraId="3B5BAD1C" w14:textId="77777777" w:rsidTr="0087524E">
        <w:tc>
          <w:tcPr>
            <w:tcW w:w="1221" w:type="dxa"/>
            <w:tcMar>
              <w:top w:w="57" w:type="dxa"/>
              <w:bottom w:w="57" w:type="dxa"/>
            </w:tcMar>
          </w:tcPr>
          <w:p w14:paraId="06F3E0D5" w14:textId="77777777" w:rsidR="0087524E" w:rsidRDefault="0087524E" w:rsidP="00C5389F">
            <w:pPr>
              <w:pStyle w:val="2Lauftextnormal"/>
              <w:tabs>
                <w:tab w:val="clear" w:pos="340"/>
                <w:tab w:val="left" w:pos="754"/>
              </w:tabs>
              <w:spacing w:after="0"/>
              <w:rPr>
                <w:rStyle w:val="Fett"/>
                <w:b w:val="0"/>
                <w:bCs w:val="0"/>
              </w:rPr>
            </w:pPr>
            <w:r w:rsidRPr="00C03F1B">
              <w:rPr>
                <w:rStyle w:val="Fett"/>
                <w:b w:val="0"/>
                <w:bCs w:val="0"/>
              </w:rPr>
              <w:t>1900</w:t>
            </w:r>
          </w:p>
        </w:tc>
        <w:tc>
          <w:tcPr>
            <w:tcW w:w="8418" w:type="dxa"/>
            <w:tcMar>
              <w:top w:w="57" w:type="dxa"/>
              <w:bottom w:w="57" w:type="dxa"/>
            </w:tcMar>
          </w:tcPr>
          <w:p w14:paraId="5504FC9B" w14:textId="77777777" w:rsidR="0087524E" w:rsidRDefault="0087524E" w:rsidP="00C5389F">
            <w:pPr>
              <w:pStyle w:val="2Lauftextnormal"/>
              <w:tabs>
                <w:tab w:val="clear" w:pos="340"/>
                <w:tab w:val="left" w:pos="754"/>
              </w:tabs>
              <w:spacing w:after="0"/>
              <w:rPr>
                <w:rStyle w:val="Fett"/>
                <w:b w:val="0"/>
                <w:bCs w:val="0"/>
              </w:rPr>
            </w:pPr>
            <w:r w:rsidRPr="00C03F1B">
              <w:rPr>
                <w:rStyle w:val="Fett"/>
                <w:b w:val="0"/>
                <w:bCs w:val="0"/>
              </w:rPr>
              <w:t>Eine Fahrradverordnung, welche im Interesse der öffentlichen Ordnung und Sicherheit polizeiliche Vorschriften umfasste, wurde auf die Automobile ausgeweitet: die Bestimmungen der Fahrradverordnung sollten</w:t>
            </w:r>
            <w:r>
              <w:rPr>
                <w:rStyle w:val="Fett"/>
                <w:b w:val="0"/>
                <w:bCs w:val="0"/>
              </w:rPr>
              <w:t>,</w:t>
            </w:r>
            <w:r w:rsidRPr="00C03F1B">
              <w:rPr>
                <w:rStyle w:val="Fett"/>
                <w:b w:val="0"/>
                <w:bCs w:val="0"/>
              </w:rPr>
              <w:t xml:space="preserve"> soweit möglich, auch für die Automobilwagen und sonstigen Motor-Fuhrwerke gelten.</w:t>
            </w:r>
          </w:p>
        </w:tc>
      </w:tr>
      <w:tr w:rsidR="0087524E" w14:paraId="15F93F6C" w14:textId="77777777" w:rsidTr="0087524E">
        <w:tc>
          <w:tcPr>
            <w:tcW w:w="1221" w:type="dxa"/>
            <w:tcMar>
              <w:top w:w="57" w:type="dxa"/>
              <w:bottom w:w="57" w:type="dxa"/>
            </w:tcMar>
          </w:tcPr>
          <w:p w14:paraId="470CED1A" w14:textId="77777777" w:rsidR="0087524E" w:rsidRDefault="0087524E" w:rsidP="00C5389F">
            <w:pPr>
              <w:pStyle w:val="2Lauftextnormal"/>
              <w:tabs>
                <w:tab w:val="clear" w:pos="340"/>
                <w:tab w:val="left" w:pos="754"/>
              </w:tabs>
              <w:spacing w:after="0"/>
              <w:rPr>
                <w:rStyle w:val="Fett"/>
                <w:b w:val="0"/>
                <w:bCs w:val="0"/>
              </w:rPr>
            </w:pPr>
            <w:r w:rsidRPr="00C03F1B">
              <w:rPr>
                <w:rStyle w:val="Fett"/>
                <w:b w:val="0"/>
                <w:bCs w:val="0"/>
              </w:rPr>
              <w:t>14.11.1901</w:t>
            </w:r>
          </w:p>
        </w:tc>
        <w:tc>
          <w:tcPr>
            <w:tcW w:w="8418" w:type="dxa"/>
            <w:tcMar>
              <w:top w:w="57" w:type="dxa"/>
              <w:bottom w:w="57" w:type="dxa"/>
            </w:tcMar>
          </w:tcPr>
          <w:p w14:paraId="55F0E7CB" w14:textId="77777777" w:rsidR="0087524E" w:rsidRDefault="0087524E" w:rsidP="00C5389F">
            <w:pPr>
              <w:pStyle w:val="2Lauftextnormal"/>
              <w:tabs>
                <w:tab w:val="clear" w:pos="340"/>
                <w:tab w:val="left" w:pos="754"/>
              </w:tabs>
              <w:spacing w:after="0"/>
              <w:rPr>
                <w:rStyle w:val="Fett"/>
                <w:b w:val="0"/>
                <w:bCs w:val="0"/>
              </w:rPr>
            </w:pPr>
            <w:r w:rsidRPr="00C03F1B">
              <w:rPr>
                <w:rStyle w:val="Fett"/>
                <w:b w:val="0"/>
                <w:bCs w:val="0"/>
              </w:rPr>
              <w:t>Ein Verbot des Verkehrs für Automobil- und Motorwagen wurde auf den Urner Alpenstrassen ausgesprochen. Zuvor ereignete sich ein schwerer Unfall in der Schöllenen, bei welchem ein Automobil sowie ein Pferdeomnibus beteiligt waren. Verbotsschilder wurden nicht überall montiert, so dass es zu einigen Bussen kam.</w:t>
            </w:r>
          </w:p>
        </w:tc>
      </w:tr>
      <w:tr w:rsidR="0087524E" w14:paraId="12A866AE" w14:textId="77777777" w:rsidTr="0087524E">
        <w:tc>
          <w:tcPr>
            <w:tcW w:w="1221" w:type="dxa"/>
            <w:tcMar>
              <w:top w:w="57" w:type="dxa"/>
              <w:bottom w:w="57" w:type="dxa"/>
            </w:tcMar>
          </w:tcPr>
          <w:p w14:paraId="1602E28F" w14:textId="77777777" w:rsidR="0087524E" w:rsidRDefault="0087524E" w:rsidP="00C5389F">
            <w:pPr>
              <w:pStyle w:val="2Lauftextnormal"/>
              <w:tabs>
                <w:tab w:val="clear" w:pos="340"/>
                <w:tab w:val="left" w:pos="754"/>
              </w:tabs>
              <w:spacing w:after="0"/>
              <w:rPr>
                <w:rStyle w:val="Fett"/>
                <w:b w:val="0"/>
                <w:bCs w:val="0"/>
              </w:rPr>
            </w:pPr>
            <w:r w:rsidRPr="00C03F1B">
              <w:rPr>
                <w:rStyle w:val="Fett"/>
                <w:b w:val="0"/>
                <w:bCs w:val="0"/>
              </w:rPr>
              <w:t>25.2.1902</w:t>
            </w:r>
          </w:p>
        </w:tc>
        <w:tc>
          <w:tcPr>
            <w:tcW w:w="8418" w:type="dxa"/>
            <w:tcMar>
              <w:top w:w="57" w:type="dxa"/>
              <w:bottom w:w="57" w:type="dxa"/>
            </w:tcMar>
          </w:tcPr>
          <w:p w14:paraId="07BA5701" w14:textId="77777777" w:rsidR="0087524E" w:rsidRDefault="0087524E" w:rsidP="00C5389F">
            <w:pPr>
              <w:pStyle w:val="2Lauftextnormal"/>
              <w:tabs>
                <w:tab w:val="clear" w:pos="340"/>
                <w:tab w:val="left" w:pos="754"/>
              </w:tabs>
              <w:spacing w:after="0"/>
              <w:rPr>
                <w:rStyle w:val="Fett"/>
                <w:b w:val="0"/>
                <w:bCs w:val="0"/>
              </w:rPr>
            </w:pPr>
            <w:r w:rsidRPr="00C03F1B">
              <w:rPr>
                <w:rStyle w:val="Fett"/>
                <w:b w:val="0"/>
                <w:bCs w:val="0"/>
              </w:rPr>
              <w:t>Die Eidgenossenschaft wollte eine einheitliche Verordnung für den Automobil- und Fahrradverkehr auf dem ganzen Gebiet der Eidgenossenschaft einführen. Die Urner Regierung war jedoch nicht mit einer Tempolimite von max. 30 km/h einverstanden und wollte auch die Alpenstrassen nicht öffnen. Deshalb trat Uri dieser Verordnung vorerst nicht bei.</w:t>
            </w:r>
          </w:p>
        </w:tc>
      </w:tr>
      <w:tr w:rsidR="0087524E" w14:paraId="409D457A" w14:textId="77777777" w:rsidTr="0087524E">
        <w:tc>
          <w:tcPr>
            <w:tcW w:w="1221" w:type="dxa"/>
            <w:tcMar>
              <w:top w:w="57" w:type="dxa"/>
              <w:bottom w:w="57" w:type="dxa"/>
            </w:tcMar>
          </w:tcPr>
          <w:p w14:paraId="6177E638" w14:textId="77777777" w:rsidR="0087524E" w:rsidRDefault="0087524E" w:rsidP="00C5389F">
            <w:pPr>
              <w:pStyle w:val="2Lauftextnormal"/>
              <w:tabs>
                <w:tab w:val="clear" w:pos="340"/>
                <w:tab w:val="left" w:pos="754"/>
              </w:tabs>
              <w:spacing w:after="0"/>
              <w:rPr>
                <w:rStyle w:val="Fett"/>
                <w:b w:val="0"/>
                <w:bCs w:val="0"/>
              </w:rPr>
            </w:pPr>
            <w:r w:rsidRPr="00C03F1B">
              <w:rPr>
                <w:rStyle w:val="Fett"/>
                <w:b w:val="0"/>
                <w:bCs w:val="0"/>
              </w:rPr>
              <w:t>1907</w:t>
            </w:r>
          </w:p>
        </w:tc>
        <w:tc>
          <w:tcPr>
            <w:tcW w:w="8418" w:type="dxa"/>
            <w:tcMar>
              <w:top w:w="57" w:type="dxa"/>
              <w:bottom w:w="57" w:type="dxa"/>
            </w:tcMar>
          </w:tcPr>
          <w:p w14:paraId="4FC7D759" w14:textId="77777777" w:rsidR="0087524E" w:rsidRDefault="0087524E" w:rsidP="00C5389F">
            <w:pPr>
              <w:pStyle w:val="2Lauftextnormal"/>
              <w:tabs>
                <w:tab w:val="clear" w:pos="340"/>
                <w:tab w:val="left" w:pos="754"/>
              </w:tabs>
              <w:spacing w:after="0"/>
              <w:rPr>
                <w:rStyle w:val="Fett"/>
                <w:b w:val="0"/>
                <w:bCs w:val="0"/>
              </w:rPr>
            </w:pPr>
            <w:r w:rsidRPr="00C03F1B">
              <w:rPr>
                <w:rStyle w:val="Fett"/>
                <w:b w:val="0"/>
                <w:bCs w:val="0"/>
              </w:rPr>
              <w:t>Die Gotthardstrasse wurde in den frühen Morgen- und Abendstunden für den Automobil- und den Motorradverkehr wieder geöffnet. Die Höchstgeschwindigkeit blieb jedoch bei 12 km/h.</w:t>
            </w:r>
          </w:p>
        </w:tc>
      </w:tr>
      <w:tr w:rsidR="0087524E" w14:paraId="06964421" w14:textId="77777777" w:rsidTr="0087524E">
        <w:tc>
          <w:tcPr>
            <w:tcW w:w="1221" w:type="dxa"/>
            <w:tcMar>
              <w:top w:w="57" w:type="dxa"/>
              <w:bottom w:w="57" w:type="dxa"/>
            </w:tcMar>
          </w:tcPr>
          <w:p w14:paraId="6C7F327C" w14:textId="77777777" w:rsidR="0087524E" w:rsidRDefault="0087524E" w:rsidP="00C5389F">
            <w:pPr>
              <w:pStyle w:val="2Lauftextnormal"/>
              <w:tabs>
                <w:tab w:val="clear" w:pos="340"/>
                <w:tab w:val="left" w:pos="754"/>
              </w:tabs>
              <w:spacing w:after="0"/>
              <w:rPr>
                <w:rStyle w:val="Fett"/>
                <w:b w:val="0"/>
                <w:bCs w:val="0"/>
              </w:rPr>
            </w:pPr>
            <w:r w:rsidRPr="00C03F1B">
              <w:rPr>
                <w:rStyle w:val="Fett"/>
                <w:b w:val="0"/>
                <w:bCs w:val="0"/>
              </w:rPr>
              <w:t>1.1.1915</w:t>
            </w:r>
          </w:p>
        </w:tc>
        <w:tc>
          <w:tcPr>
            <w:tcW w:w="8418" w:type="dxa"/>
            <w:tcMar>
              <w:top w:w="57" w:type="dxa"/>
              <w:bottom w:w="57" w:type="dxa"/>
            </w:tcMar>
          </w:tcPr>
          <w:p w14:paraId="66C09EBA" w14:textId="77777777" w:rsidR="0087524E" w:rsidRDefault="0087524E" w:rsidP="00C5389F">
            <w:pPr>
              <w:pStyle w:val="2Lauftextnormal"/>
              <w:tabs>
                <w:tab w:val="clear" w:pos="340"/>
                <w:tab w:val="left" w:pos="754"/>
              </w:tabs>
              <w:spacing w:after="0"/>
              <w:rPr>
                <w:rStyle w:val="Fett"/>
                <w:b w:val="0"/>
                <w:bCs w:val="0"/>
              </w:rPr>
            </w:pPr>
            <w:r w:rsidRPr="00C03F1B">
              <w:rPr>
                <w:rStyle w:val="Fett"/>
                <w:b w:val="0"/>
                <w:bCs w:val="0"/>
              </w:rPr>
              <w:t>In Uri wurden die Bestimmungen des revidierten eidgenössischen Konkordates über eine einheitliche «Verordnung betreffend den Verkehr mit Motorfahrzeugen und Fahrrädern» eingeführt. 75 Artikel regelten von nun an den Motorverkehr, es musste nicht mehr auf die Fahrradverordnung mit Zusatzartikeln zurückgegriffen werden.</w:t>
            </w:r>
          </w:p>
        </w:tc>
      </w:tr>
    </w:tbl>
    <w:p w14:paraId="07425BC5" w14:textId="3095E6C3" w:rsidR="0087524E" w:rsidRDefault="0087524E" w:rsidP="0087524E">
      <w:pPr>
        <w:pStyle w:val="2Lauftextnormal"/>
        <w:tabs>
          <w:tab w:val="clear" w:pos="340"/>
          <w:tab w:val="left" w:pos="754"/>
        </w:tabs>
        <w:spacing w:before="120" w:after="0"/>
        <w:rPr>
          <w:rStyle w:val="Fett"/>
          <w:b w:val="0"/>
          <w:bCs w:val="0"/>
          <w:sz w:val="20"/>
          <w:szCs w:val="20"/>
        </w:rPr>
      </w:pPr>
      <w:r w:rsidRPr="003820F1">
        <w:rPr>
          <w:rStyle w:val="Fett"/>
          <w:bCs w:val="0"/>
          <w:sz w:val="20"/>
          <w:szCs w:val="20"/>
        </w:rPr>
        <w:t>Tab. 1: Erste Verkehrsregeln rund um das Auto in Uri</w:t>
      </w:r>
      <w:r w:rsidRPr="003820F1">
        <w:rPr>
          <w:rStyle w:val="Fett"/>
          <w:b w:val="0"/>
          <w:bCs w:val="0"/>
          <w:sz w:val="20"/>
          <w:szCs w:val="20"/>
        </w:rPr>
        <w:t xml:space="preserve"> (Quelle: Uri und das Automobil – des Teufels späte Rache? Soziale und wirtschaftliche Auswirkungen des Automobils auf das </w:t>
      </w:r>
      <w:proofErr w:type="spellStart"/>
      <w:r w:rsidRPr="003820F1">
        <w:rPr>
          <w:rStyle w:val="Fett"/>
          <w:b w:val="0"/>
          <w:bCs w:val="0"/>
          <w:sz w:val="20"/>
          <w:szCs w:val="20"/>
        </w:rPr>
        <w:t>Urnerland</w:t>
      </w:r>
      <w:proofErr w:type="spellEnd"/>
      <w:r w:rsidRPr="003820F1">
        <w:rPr>
          <w:rStyle w:val="Fett"/>
          <w:b w:val="0"/>
          <w:bCs w:val="0"/>
          <w:sz w:val="20"/>
          <w:szCs w:val="20"/>
        </w:rPr>
        <w:t>. Von Rolf Gisler-Jauch. Verlag Gisler.</w:t>
      </w:r>
      <w:r w:rsidR="009B3974">
        <w:rPr>
          <w:rStyle w:val="Fett"/>
          <w:b w:val="0"/>
          <w:bCs w:val="0"/>
          <w:sz w:val="20"/>
          <w:szCs w:val="20"/>
        </w:rPr>
        <w:t> </w:t>
      </w:r>
      <w:r w:rsidRPr="003820F1">
        <w:rPr>
          <w:rStyle w:val="Fett"/>
          <w:b w:val="0"/>
          <w:bCs w:val="0"/>
          <w:sz w:val="20"/>
          <w:szCs w:val="20"/>
        </w:rPr>
        <w:t>1994.)</w:t>
      </w:r>
    </w:p>
    <w:p w14:paraId="1E170456" w14:textId="75F4A5FE" w:rsidR="00725112" w:rsidRDefault="00725112" w:rsidP="00725112"/>
    <w:p w14:paraId="293B0F8E" w14:textId="77777777" w:rsidR="009B3974" w:rsidRDefault="009B3974">
      <w:pPr>
        <w:tabs>
          <w:tab w:val="clear" w:pos="340"/>
        </w:tabs>
        <w:rPr>
          <w:b/>
        </w:rPr>
      </w:pPr>
      <w:r>
        <w:rPr>
          <w:noProof/>
        </w:rPr>
        <w:drawing>
          <wp:inline distT="0" distB="0" distL="0" distR="0" wp14:anchorId="01B4A025" wp14:editId="2DAC8402">
            <wp:extent cx="6120130" cy="3937000"/>
            <wp:effectExtent l="0" t="0" r="0" b="6350"/>
            <wp:docPr id="7" name="Grafik 7" descr="Altdorf. Hauptplatz und Tell Denk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dorf. Hauptplatz und Tell Denk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37000"/>
                    </a:xfrm>
                    <a:prstGeom prst="rect">
                      <a:avLst/>
                    </a:prstGeom>
                    <a:noFill/>
                    <a:ln>
                      <a:noFill/>
                    </a:ln>
                  </pic:spPr>
                </pic:pic>
              </a:graphicData>
            </a:graphic>
          </wp:inline>
        </w:drawing>
      </w:r>
    </w:p>
    <w:p w14:paraId="731D4079" w14:textId="10B679B1" w:rsidR="00725112" w:rsidRPr="009B3974" w:rsidRDefault="009B3974" w:rsidP="009B3974">
      <w:pPr>
        <w:tabs>
          <w:tab w:val="clear" w:pos="340"/>
        </w:tabs>
        <w:rPr>
          <w:sz w:val="20"/>
          <w:szCs w:val="20"/>
        </w:rPr>
      </w:pPr>
      <w:r w:rsidRPr="009B3974">
        <w:rPr>
          <w:b/>
          <w:sz w:val="20"/>
          <w:szCs w:val="20"/>
        </w:rPr>
        <w:t>Bild 1: Der Altdorfer Hauptplatz wurde früher von Fussgängern dominiert.</w:t>
      </w:r>
      <w:r w:rsidRPr="009B3974">
        <w:rPr>
          <w:sz w:val="20"/>
          <w:szCs w:val="20"/>
        </w:rPr>
        <w:t xml:space="preserve"> (Quelle: </w:t>
      </w:r>
      <w:hyperlink r:id="rId11" w:history="1">
        <w:r w:rsidRPr="009B3974">
          <w:rPr>
            <w:sz w:val="20"/>
            <w:szCs w:val="20"/>
          </w:rPr>
          <w:t>https://swiss.nailizakon.com/a/altdorf/altdorf.html</w:t>
        </w:r>
      </w:hyperlink>
      <w:r w:rsidRPr="009B3974">
        <w:rPr>
          <w:sz w:val="20"/>
          <w:szCs w:val="20"/>
        </w:rPr>
        <w:t xml:space="preserve">, 23.8.2019) </w:t>
      </w:r>
      <w:r w:rsidR="00725112" w:rsidRPr="009B3974">
        <w:rPr>
          <w:sz w:val="20"/>
          <w:szCs w:val="20"/>
        </w:rPr>
        <w:tab/>
      </w:r>
    </w:p>
    <w:sectPr w:rsidR="00725112" w:rsidRPr="009B3974" w:rsidSect="00D36E13">
      <w:headerReference w:type="default" r:id="rId12"/>
      <w:footerReference w:type="default" r:id="rId13"/>
      <w:pgSz w:w="11906" w:h="16838"/>
      <w:pgMar w:top="28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52C31" w14:textId="77777777" w:rsidR="00BB2916" w:rsidRDefault="00BB2916" w:rsidP="00015E6D">
      <w:pPr>
        <w:spacing w:after="0" w:line="240" w:lineRule="auto"/>
      </w:pPr>
      <w:r>
        <w:separator/>
      </w:r>
    </w:p>
  </w:endnote>
  <w:endnote w:type="continuationSeparator" w:id="0">
    <w:p w14:paraId="0C351D8D" w14:textId="77777777" w:rsidR="00BB2916" w:rsidRDefault="00BB2916" w:rsidP="0001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top w:w="57" w:type="dxa"/>
        <w:left w:w="113" w:type="dxa"/>
        <w:bottom w:w="57" w:type="dxa"/>
        <w:right w:w="113" w:type="dxa"/>
      </w:tblCellMar>
      <w:tblLook w:val="04A0" w:firstRow="1" w:lastRow="0" w:firstColumn="1" w:lastColumn="0" w:noHBand="0" w:noVBand="1"/>
    </w:tblPr>
    <w:tblGrid>
      <w:gridCol w:w="851"/>
      <w:gridCol w:w="6804"/>
      <w:gridCol w:w="319"/>
      <w:gridCol w:w="1522"/>
    </w:tblGrid>
    <w:tr w:rsidR="00015E6D" w:rsidRPr="00015E6D" w14:paraId="0AD7205C" w14:textId="77777777" w:rsidTr="00697B1E">
      <w:tc>
        <w:tcPr>
          <w:tcW w:w="851" w:type="dxa"/>
          <w:shd w:val="clear" w:color="auto" w:fill="D9D9D9" w:themeFill="background1" w:themeFillShade="D9"/>
          <w:vAlign w:val="center"/>
        </w:tcPr>
        <w:p w14:paraId="287C63FB" w14:textId="77505755" w:rsidR="00015E6D" w:rsidRPr="00D36E13" w:rsidRDefault="007B3461" w:rsidP="00D36E13">
          <w:pPr>
            <w:pStyle w:val="Fuzeile"/>
          </w:pPr>
          <w:r w:rsidRPr="00D36E13">
            <w:t xml:space="preserve">Seite </w:t>
          </w:r>
          <w:sdt>
            <w:sdtPr>
              <w:id w:val="-341698493"/>
              <w:docPartObj>
                <w:docPartGallery w:val="Page Numbers (Margins)"/>
                <w:docPartUnique/>
              </w:docPartObj>
            </w:sdtPr>
            <w:sdtEndPr/>
            <w:sdtContent>
              <w:sdt>
                <w:sdtPr>
                  <w:id w:val="454676164"/>
                  <w:docPartObj>
                    <w:docPartGallery w:val="Page Numbers (Margins)"/>
                    <w:docPartUnique/>
                  </w:docPartObj>
                </w:sdtPr>
                <w:sdtEndPr/>
                <w:sdtContent>
                  <w:r w:rsidR="00E03261" w:rsidRPr="00D36E13">
                    <w:fldChar w:fldCharType="begin"/>
                  </w:r>
                  <w:r w:rsidR="00E03261" w:rsidRPr="00D36E13">
                    <w:instrText>PAGE   \* MERGEFORMAT</w:instrText>
                  </w:r>
                  <w:r w:rsidR="00E03261" w:rsidRPr="00D36E13">
                    <w:fldChar w:fldCharType="separate"/>
                  </w:r>
                  <w:r w:rsidR="00CF2EF9">
                    <w:rPr>
                      <w:noProof/>
                    </w:rPr>
                    <w:t>1</w:t>
                  </w:r>
                  <w:r w:rsidR="00E03261" w:rsidRPr="00D36E13">
                    <w:fldChar w:fldCharType="end"/>
                  </w:r>
                </w:sdtContent>
              </w:sdt>
            </w:sdtContent>
          </w:sdt>
        </w:p>
      </w:tc>
      <w:tc>
        <w:tcPr>
          <w:tcW w:w="6804" w:type="dxa"/>
          <w:shd w:val="clear" w:color="auto" w:fill="D9D9D9" w:themeFill="background1" w:themeFillShade="D9"/>
          <w:vAlign w:val="center"/>
        </w:tcPr>
        <w:p w14:paraId="47146794" w14:textId="44E693D6" w:rsidR="00015E6D" w:rsidRPr="0016055E" w:rsidRDefault="00E86EF3" w:rsidP="000F2480">
          <w:pPr>
            <w:pStyle w:val="Fuzeile"/>
            <w:rPr>
              <w:rStyle w:val="Fett"/>
            </w:rPr>
          </w:pPr>
          <w:r>
            <w:rPr>
              <w:rStyle w:val="Fett"/>
            </w:rPr>
            <w:t>Verkehr/</w:t>
          </w:r>
          <w:r w:rsidR="00A16653">
            <w:rPr>
              <w:rStyle w:val="Fett"/>
            </w:rPr>
            <w:t>Personen</w:t>
          </w:r>
          <w:r w:rsidR="008074D4">
            <w:rPr>
              <w:rStyle w:val="Fett"/>
            </w:rPr>
            <w:t>verkehr/</w:t>
          </w:r>
          <w:r w:rsidR="0085198F">
            <w:rPr>
              <w:rStyle w:val="Fett"/>
            </w:rPr>
            <w:t>Die ersten Autos in Uri</w:t>
          </w:r>
          <w:r w:rsidR="00697B1E">
            <w:rPr>
              <w:rStyle w:val="Fett"/>
            </w:rPr>
            <w:t>/Informationsblatt</w:t>
          </w:r>
        </w:p>
      </w:tc>
      <w:tc>
        <w:tcPr>
          <w:tcW w:w="319" w:type="dxa"/>
          <w:shd w:val="clear" w:color="auto" w:fill="D9D9D9" w:themeFill="background1" w:themeFillShade="D9"/>
          <w:vAlign w:val="center"/>
        </w:tcPr>
        <w:p w14:paraId="74D678F8" w14:textId="7F859616" w:rsidR="00015E6D" w:rsidRPr="00015E6D" w:rsidRDefault="00015E6D" w:rsidP="00E03261">
          <w:pPr>
            <w:pStyle w:val="Fuzeile"/>
            <w:jc w:val="center"/>
          </w:pPr>
        </w:p>
      </w:tc>
      <w:tc>
        <w:tcPr>
          <w:tcW w:w="1522" w:type="dxa"/>
          <w:shd w:val="clear" w:color="auto" w:fill="D9D9D9" w:themeFill="background1" w:themeFillShade="D9"/>
          <w:vAlign w:val="center"/>
        </w:tcPr>
        <w:p w14:paraId="62EBCAFC" w14:textId="61F642D7" w:rsidR="00015E6D" w:rsidRPr="00E86EF3" w:rsidRDefault="00725112" w:rsidP="00E86EF3">
          <w:pPr>
            <w:pStyle w:val="Fuzeile"/>
            <w:tabs>
              <w:tab w:val="clear" w:pos="340"/>
            </w:tabs>
            <w:jc w:val="right"/>
          </w:pPr>
          <w:r>
            <w:t>Maya Thön</w:t>
          </w:r>
          <w:r w:rsidR="007B1F13">
            <w:t>y</w:t>
          </w:r>
        </w:p>
      </w:tc>
    </w:tr>
  </w:tbl>
  <w:p w14:paraId="7A0111BB" w14:textId="77777777" w:rsidR="00015E6D" w:rsidRDefault="00015E6D" w:rsidP="00015E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6493" w14:textId="77777777" w:rsidR="00BB2916" w:rsidRDefault="00BB2916" w:rsidP="00015E6D">
      <w:pPr>
        <w:spacing w:after="0" w:line="240" w:lineRule="auto"/>
      </w:pPr>
      <w:r>
        <w:separator/>
      </w:r>
    </w:p>
  </w:footnote>
  <w:footnote w:type="continuationSeparator" w:id="0">
    <w:p w14:paraId="11DEE61B" w14:textId="77777777" w:rsidR="00BB2916" w:rsidRDefault="00BB2916" w:rsidP="0001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82977"/>
      <w:docPartObj>
        <w:docPartGallery w:val="Page Numbers (Margins)"/>
        <w:docPartUnique/>
      </w:docPartObj>
    </w:sdtPr>
    <w:sdtEndPr/>
    <w:sdtContent>
      <w:p w14:paraId="3434B0A1" w14:textId="77777777" w:rsidR="00E03261" w:rsidRDefault="003018C4">
        <w:pPr>
          <w:pStyle w:val="Kopf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3.15pt;height:3.15pt" o:bullet="t">
        <v:imagedata r:id="rId1" o:title="punkt"/>
      </v:shape>
    </w:pict>
  </w:numPicBullet>
  <w:numPicBullet w:numPicBulletId="1">
    <w:pict>
      <v:shape id="_x0000_i1248" type="#_x0000_t75" style="width:4.2pt;height:4.2pt" o:bullet="t">
        <v:imagedata r:id="rId2" o:title="punkt"/>
      </v:shape>
    </w:pict>
  </w:numPicBullet>
  <w:numPicBullet w:numPicBulletId="2">
    <w:pict>
      <v:shape id="_x0000_i1249" type="#_x0000_t75" style="width:8.15pt;height:8.15pt" o:bullet="t">
        <v:imagedata r:id="rId3" o:title="punkt"/>
      </v:shape>
    </w:pict>
  </w:numPicBullet>
  <w:numPicBullet w:numPicBulletId="3">
    <w:pict>
      <v:shape id="_x0000_i1250" type="#_x0000_t75" style="width:4.2pt;height:11.3pt" o:bullet="t">
        <v:imagedata r:id="rId4" o:title="punkt"/>
      </v:shape>
    </w:pict>
  </w:numPicBullet>
  <w:numPicBullet w:numPicBulletId="4">
    <w:pict>
      <v:shape id="_x0000_i1251" type="#_x0000_t75" style="width:4.2pt;height:11.3pt" o:bullet="t">
        <v:imagedata r:id="rId5" o:title="punkt"/>
      </v:shape>
    </w:pict>
  </w:numPicBullet>
  <w:numPicBullet w:numPicBulletId="5">
    <w:pict>
      <v:shape id="_x0000_i1252" type="#_x0000_t75" style="width:4.2pt;height:11.3pt" o:bullet="t">
        <v:imagedata r:id="rId6" o:title="punkt_rot"/>
      </v:shape>
    </w:pict>
  </w:numPicBullet>
  <w:numPicBullet w:numPicBulletId="6">
    <w:pict>
      <v:shape id="_x0000_i1253" type="#_x0000_t75" style="width:4.2pt;height:11.3pt" o:bullet="t">
        <v:imagedata r:id="rId7" o:title="punkt_black"/>
      </v:shape>
    </w:pict>
  </w:numPicBullet>
  <w:numPicBullet w:numPicBulletId="7">
    <w:pict>
      <v:shape id="_x0000_i1254" type="#_x0000_t75" style="width:56.25pt;height:56.25pt;visibility:visible;mso-wrap-style:square" o:bullet="t">
        <v:imagedata r:id="rId8" o:title=""/>
      </v:shape>
    </w:pict>
  </w:numPicBullet>
  <w:numPicBullet w:numPicBulletId="8">
    <w:pict>
      <v:shape id="_x0000_i1255" type="#_x0000_t75" style="width:56.25pt;height:56.25pt;visibility:visible;mso-wrap-style:square" o:bullet="t">
        <v:imagedata r:id="rId9" o:title=""/>
      </v:shape>
    </w:pict>
  </w:numPicBullet>
  <w:abstractNum w:abstractNumId="0" w15:restartNumberingAfterBreak="0">
    <w:nsid w:val="FFFFFF1D"/>
    <w:multiLevelType w:val="multilevel"/>
    <w:tmpl w:val="C4B4C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35957"/>
    <w:multiLevelType w:val="hybridMultilevel"/>
    <w:tmpl w:val="5B42485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11A58A8"/>
    <w:multiLevelType w:val="hybridMultilevel"/>
    <w:tmpl w:val="53AA071A"/>
    <w:lvl w:ilvl="0" w:tplc="C1A09C1E">
      <w:start w:val="1"/>
      <w:numFmt w:val="bullet"/>
      <w:pStyle w:val="3LauftextBullets"/>
      <w:lvlText w:val=""/>
      <w:lvlPicBulletId w:val="6"/>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AC2434"/>
    <w:multiLevelType w:val="hybridMultilevel"/>
    <w:tmpl w:val="1194BECC"/>
    <w:lvl w:ilvl="0" w:tplc="08070017">
      <w:start w:val="1"/>
      <w:numFmt w:val="lowerLetter"/>
      <w:lvlText w:val="%1)"/>
      <w:lvlJc w:val="left"/>
      <w:pPr>
        <w:ind w:left="360" w:hanging="360"/>
      </w:pPr>
    </w:lvl>
    <w:lvl w:ilvl="1" w:tplc="596E47E4">
      <w:start w:val="3"/>
      <w:numFmt w:val="bullet"/>
      <w:lvlText w:val="-"/>
      <w:lvlJc w:val="left"/>
      <w:pPr>
        <w:ind w:left="1080" w:hanging="360"/>
      </w:pPr>
      <w:rPr>
        <w:rFonts w:ascii="Calibri" w:eastAsiaTheme="minorHAnsi" w:hAnsi="Calibri" w:cs="Calibri"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9BC68F2"/>
    <w:multiLevelType w:val="hybridMultilevel"/>
    <w:tmpl w:val="CBFC0A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C34277A"/>
    <w:multiLevelType w:val="hybridMultilevel"/>
    <w:tmpl w:val="6FC2DB7E"/>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1EC100BF"/>
    <w:multiLevelType w:val="hybridMultilevel"/>
    <w:tmpl w:val="9C3EA6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8861D4"/>
    <w:multiLevelType w:val="hybridMultilevel"/>
    <w:tmpl w:val="592E992E"/>
    <w:lvl w:ilvl="0" w:tplc="3556B28A">
      <w:start w:val="1"/>
      <w:numFmt w:val="bullet"/>
      <w:pStyle w:val="5EinzugBulletsgrau"/>
      <w:lvlText w:val=""/>
      <w:lvlPicBulletId w:val="4"/>
      <w:lvlJc w:val="left"/>
      <w:pPr>
        <w:ind w:left="700" w:hanging="360"/>
      </w:pPr>
      <w:rPr>
        <w:rFonts w:ascii="Symbol" w:hAnsi="Symbol" w:hint="default"/>
        <w:color w:val="auto"/>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8" w15:restartNumberingAfterBreak="0">
    <w:nsid w:val="2F016D75"/>
    <w:multiLevelType w:val="hybridMultilevel"/>
    <w:tmpl w:val="E9E8EB1C"/>
    <w:lvl w:ilvl="0" w:tplc="78001FAA">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59C6429"/>
    <w:multiLevelType w:val="hybridMultilevel"/>
    <w:tmpl w:val="659C7D8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3AA63F8A"/>
    <w:multiLevelType w:val="hybridMultilevel"/>
    <w:tmpl w:val="6E54FF66"/>
    <w:lvl w:ilvl="0" w:tplc="78001FAA">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48C64E9"/>
    <w:multiLevelType w:val="hybridMultilevel"/>
    <w:tmpl w:val="4AEA79E0"/>
    <w:lvl w:ilvl="0" w:tplc="3D901978">
      <w:start w:val="1"/>
      <w:numFmt w:val="bullet"/>
      <w:pStyle w:val="7SchlusssatzrotAufzhlung"/>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9115D13"/>
    <w:multiLevelType w:val="hybridMultilevel"/>
    <w:tmpl w:val="C8283902"/>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EE55A30"/>
    <w:multiLevelType w:val="hybridMultilevel"/>
    <w:tmpl w:val="E5B619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826A5B"/>
    <w:multiLevelType w:val="hybridMultilevel"/>
    <w:tmpl w:val="DAEE966C"/>
    <w:lvl w:ilvl="0" w:tplc="08070017">
      <w:start w:val="1"/>
      <w:numFmt w:val="lowerLetter"/>
      <w:lvlText w:val="%1)"/>
      <w:lvlJc w:val="left"/>
      <w:pPr>
        <w:ind w:left="360" w:hanging="360"/>
      </w:p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9D1775E"/>
    <w:multiLevelType w:val="hybridMultilevel"/>
    <w:tmpl w:val="27881358"/>
    <w:lvl w:ilvl="0" w:tplc="78001FAA">
      <w:start w:val="1"/>
      <w:numFmt w:val="lowerLetter"/>
      <w:lvlText w:val="%1."/>
      <w:lvlJc w:val="left"/>
      <w:pPr>
        <w:ind w:left="1080" w:hanging="360"/>
      </w:pPr>
      <w:rPr>
        <w:rFonts w:hint="default"/>
        <w:b/>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15:restartNumberingAfterBreak="0">
    <w:nsid w:val="643A511B"/>
    <w:multiLevelType w:val="hybridMultilevel"/>
    <w:tmpl w:val="8C9A564C"/>
    <w:lvl w:ilvl="0" w:tplc="596E47E4">
      <w:start w:val="3"/>
      <w:numFmt w:val="bullet"/>
      <w:lvlText w:val="-"/>
      <w:lvlJc w:val="left"/>
      <w:pPr>
        <w:ind w:left="1110" w:hanging="75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4CC36D3"/>
    <w:multiLevelType w:val="hybridMultilevel"/>
    <w:tmpl w:val="087E1D6C"/>
    <w:lvl w:ilvl="0" w:tplc="A7F857E2">
      <w:start w:val="1"/>
      <w:numFmt w:val="lowerLetter"/>
      <w:pStyle w:val="4Lauftext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E760308"/>
    <w:multiLevelType w:val="hybridMultilevel"/>
    <w:tmpl w:val="15AE2A3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2EE6E45"/>
    <w:multiLevelType w:val="hybridMultilevel"/>
    <w:tmpl w:val="FD288AE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3A67029"/>
    <w:multiLevelType w:val="hybridMultilevel"/>
    <w:tmpl w:val="BF92BFF8"/>
    <w:lvl w:ilvl="0" w:tplc="FFAE46EA">
      <w:start w:val="1"/>
      <w:numFmt w:val="lowerLetter"/>
      <w:lvlText w:val="%1)"/>
      <w:lvlJc w:val="left"/>
      <w:pPr>
        <w:ind w:left="720" w:hanging="360"/>
      </w:pPr>
      <w:rPr>
        <w:i/>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2"/>
  </w:num>
  <w:num w:numId="5">
    <w:abstractNumId w:val="0"/>
  </w:num>
  <w:num w:numId="6">
    <w:abstractNumId w:val="20"/>
  </w:num>
  <w:num w:numId="7">
    <w:abstractNumId w:val="6"/>
  </w:num>
  <w:num w:numId="8">
    <w:abstractNumId w:val="13"/>
  </w:num>
  <w:num w:numId="9">
    <w:abstractNumId w:val="1"/>
  </w:num>
  <w:num w:numId="10">
    <w:abstractNumId w:val="8"/>
  </w:num>
  <w:num w:numId="11">
    <w:abstractNumId w:val="4"/>
  </w:num>
  <w:num w:numId="12">
    <w:abstractNumId w:val="10"/>
  </w:num>
  <w:num w:numId="13">
    <w:abstractNumId w:val="15"/>
  </w:num>
  <w:num w:numId="14">
    <w:abstractNumId w:val="5"/>
  </w:num>
  <w:num w:numId="15">
    <w:abstractNumId w:val="9"/>
  </w:num>
  <w:num w:numId="16">
    <w:abstractNumId w:val="19"/>
  </w:num>
  <w:num w:numId="17">
    <w:abstractNumId w:val="12"/>
  </w:num>
  <w:num w:numId="18">
    <w:abstractNumId w:val="18"/>
  </w:num>
  <w:num w:numId="19">
    <w:abstractNumId w:val="16"/>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AF"/>
    <w:rsid w:val="0000474E"/>
    <w:rsid w:val="000052C9"/>
    <w:rsid w:val="00015E6D"/>
    <w:rsid w:val="0004754B"/>
    <w:rsid w:val="00062445"/>
    <w:rsid w:val="00096051"/>
    <w:rsid w:val="000D4EAA"/>
    <w:rsid w:val="000D7DE9"/>
    <w:rsid w:val="000F2480"/>
    <w:rsid w:val="00100CD5"/>
    <w:rsid w:val="0016055E"/>
    <w:rsid w:val="001722F8"/>
    <w:rsid w:val="0018184F"/>
    <w:rsid w:val="00183B0C"/>
    <w:rsid w:val="00194891"/>
    <w:rsid w:val="001A2AF4"/>
    <w:rsid w:val="001A7C22"/>
    <w:rsid w:val="001C4CDF"/>
    <w:rsid w:val="001F1AD6"/>
    <w:rsid w:val="001F267A"/>
    <w:rsid w:val="0020574F"/>
    <w:rsid w:val="0020675E"/>
    <w:rsid w:val="00283755"/>
    <w:rsid w:val="002D2F07"/>
    <w:rsid w:val="002E3E5D"/>
    <w:rsid w:val="003018C4"/>
    <w:rsid w:val="00304CE5"/>
    <w:rsid w:val="00317F7A"/>
    <w:rsid w:val="0032430C"/>
    <w:rsid w:val="00340973"/>
    <w:rsid w:val="00341FCC"/>
    <w:rsid w:val="003452E1"/>
    <w:rsid w:val="003637CB"/>
    <w:rsid w:val="003820F1"/>
    <w:rsid w:val="003D011C"/>
    <w:rsid w:val="00457AF1"/>
    <w:rsid w:val="00462748"/>
    <w:rsid w:val="00481A08"/>
    <w:rsid w:val="004B6A97"/>
    <w:rsid w:val="004B714B"/>
    <w:rsid w:val="004D2A18"/>
    <w:rsid w:val="004D75D1"/>
    <w:rsid w:val="004F28A4"/>
    <w:rsid w:val="00500353"/>
    <w:rsid w:val="005406E3"/>
    <w:rsid w:val="00571D30"/>
    <w:rsid w:val="00580B21"/>
    <w:rsid w:val="00583FC0"/>
    <w:rsid w:val="00584B9C"/>
    <w:rsid w:val="005A2325"/>
    <w:rsid w:val="005C57D0"/>
    <w:rsid w:val="00615EE1"/>
    <w:rsid w:val="00644064"/>
    <w:rsid w:val="00697228"/>
    <w:rsid w:val="00697B1E"/>
    <w:rsid w:val="006A19CC"/>
    <w:rsid w:val="006A3D06"/>
    <w:rsid w:val="00725112"/>
    <w:rsid w:val="00751CE9"/>
    <w:rsid w:val="00765105"/>
    <w:rsid w:val="007673B9"/>
    <w:rsid w:val="00782C86"/>
    <w:rsid w:val="00787AFE"/>
    <w:rsid w:val="007941A1"/>
    <w:rsid w:val="007B1F13"/>
    <w:rsid w:val="007B27C6"/>
    <w:rsid w:val="007B3461"/>
    <w:rsid w:val="007E78F4"/>
    <w:rsid w:val="007F1AD6"/>
    <w:rsid w:val="007F6D60"/>
    <w:rsid w:val="0080504F"/>
    <w:rsid w:val="008074D4"/>
    <w:rsid w:val="0085198F"/>
    <w:rsid w:val="0087524E"/>
    <w:rsid w:val="00885BC0"/>
    <w:rsid w:val="008908DE"/>
    <w:rsid w:val="008A62B8"/>
    <w:rsid w:val="008B6360"/>
    <w:rsid w:val="008E70E1"/>
    <w:rsid w:val="00922E91"/>
    <w:rsid w:val="009309D1"/>
    <w:rsid w:val="00977044"/>
    <w:rsid w:val="0098120D"/>
    <w:rsid w:val="00997501"/>
    <w:rsid w:val="009B3974"/>
    <w:rsid w:val="009D080C"/>
    <w:rsid w:val="009D3C89"/>
    <w:rsid w:val="00A16653"/>
    <w:rsid w:val="00A353A8"/>
    <w:rsid w:val="00A445D0"/>
    <w:rsid w:val="00A530AF"/>
    <w:rsid w:val="00A81F4D"/>
    <w:rsid w:val="00A85BB8"/>
    <w:rsid w:val="00AC2693"/>
    <w:rsid w:val="00AD2271"/>
    <w:rsid w:val="00B22B02"/>
    <w:rsid w:val="00B231EB"/>
    <w:rsid w:val="00B27760"/>
    <w:rsid w:val="00B40AC2"/>
    <w:rsid w:val="00B52DF1"/>
    <w:rsid w:val="00B73AE7"/>
    <w:rsid w:val="00B73FC9"/>
    <w:rsid w:val="00B7470E"/>
    <w:rsid w:val="00BA4412"/>
    <w:rsid w:val="00BB2916"/>
    <w:rsid w:val="00C03F1B"/>
    <w:rsid w:val="00C40F23"/>
    <w:rsid w:val="00C552A3"/>
    <w:rsid w:val="00C614A3"/>
    <w:rsid w:val="00C744B6"/>
    <w:rsid w:val="00C93DFE"/>
    <w:rsid w:val="00CB4A59"/>
    <w:rsid w:val="00CD24B2"/>
    <w:rsid w:val="00CE5690"/>
    <w:rsid w:val="00CF2EF9"/>
    <w:rsid w:val="00D04839"/>
    <w:rsid w:val="00D15191"/>
    <w:rsid w:val="00D25685"/>
    <w:rsid w:val="00D26411"/>
    <w:rsid w:val="00D33AA9"/>
    <w:rsid w:val="00D36E13"/>
    <w:rsid w:val="00DB5BD1"/>
    <w:rsid w:val="00DE77E6"/>
    <w:rsid w:val="00E03261"/>
    <w:rsid w:val="00E12E24"/>
    <w:rsid w:val="00E159CF"/>
    <w:rsid w:val="00E20FCF"/>
    <w:rsid w:val="00E23D4B"/>
    <w:rsid w:val="00E51C2C"/>
    <w:rsid w:val="00E6253B"/>
    <w:rsid w:val="00E86EF3"/>
    <w:rsid w:val="00E87551"/>
    <w:rsid w:val="00EC0C91"/>
    <w:rsid w:val="00ED5032"/>
    <w:rsid w:val="00F052AA"/>
    <w:rsid w:val="00F07545"/>
    <w:rsid w:val="00F152A4"/>
    <w:rsid w:val="00F15A94"/>
    <w:rsid w:val="00F63CD2"/>
    <w:rsid w:val="00F80C37"/>
    <w:rsid w:val="00FF01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9015A"/>
  <w15:chartTrackingRefBased/>
  <w15:docId w15:val="{9FEB8C01-DD2B-49BE-826E-D5B68066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3974"/>
    <w:pPr>
      <w:tabs>
        <w:tab w:val="left" w:pos="340"/>
      </w:tab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mithellemGitternetz">
    <w:name w:val="Grid Table Light"/>
    <w:basedOn w:val="NormaleTabelle"/>
    <w:uiPriority w:val="40"/>
    <w:rsid w:val="00F152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015E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5E6D"/>
    <w:rPr>
      <w:rFonts w:ascii="Segoe UI" w:hAnsi="Segoe UI" w:cs="Segoe UI"/>
      <w:sz w:val="18"/>
      <w:szCs w:val="18"/>
    </w:rPr>
  </w:style>
  <w:style w:type="paragraph" w:styleId="Kopfzeile">
    <w:name w:val="header"/>
    <w:basedOn w:val="Standard"/>
    <w:link w:val="KopfzeileZchn"/>
    <w:uiPriority w:val="99"/>
    <w:unhideWhenUsed/>
    <w:rsid w:val="00015E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E6D"/>
  </w:style>
  <w:style w:type="paragraph" w:styleId="Fuzeile">
    <w:name w:val="footer"/>
    <w:basedOn w:val="Standard"/>
    <w:link w:val="FuzeileZchn"/>
    <w:uiPriority w:val="99"/>
    <w:unhideWhenUsed/>
    <w:rsid w:val="00E0326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E03261"/>
    <w:rPr>
      <w:sz w:val="18"/>
    </w:rPr>
  </w:style>
  <w:style w:type="paragraph" w:customStyle="1" w:styleId="1Titel">
    <w:name w:val="1_Titel"/>
    <w:basedOn w:val="Standard"/>
    <w:qFormat/>
    <w:rsid w:val="00D15191"/>
    <w:pPr>
      <w:spacing w:after="180" w:line="240" w:lineRule="auto"/>
    </w:pPr>
    <w:rPr>
      <w:b/>
      <w:sz w:val="32"/>
    </w:rPr>
  </w:style>
  <w:style w:type="character" w:styleId="Fett">
    <w:name w:val="Strong"/>
    <w:basedOn w:val="Absatz-Standardschriftart"/>
    <w:uiPriority w:val="22"/>
    <w:qFormat/>
    <w:rsid w:val="00D36E13"/>
    <w:rPr>
      <w:b/>
      <w:bCs/>
    </w:rPr>
  </w:style>
  <w:style w:type="paragraph" w:customStyle="1" w:styleId="4Lauftexta">
    <w:name w:val="4_Lauftext a"/>
    <w:aliases w:val="b,c"/>
    <w:basedOn w:val="Standard"/>
    <w:qFormat/>
    <w:rsid w:val="00096051"/>
    <w:pPr>
      <w:numPr>
        <w:numId w:val="1"/>
      </w:numPr>
      <w:spacing w:after="80" w:line="240" w:lineRule="auto"/>
      <w:ind w:left="340" w:hanging="340"/>
    </w:pPr>
  </w:style>
  <w:style w:type="paragraph" w:customStyle="1" w:styleId="2Lauftextnormal">
    <w:name w:val="2_Lauftext_normal"/>
    <w:basedOn w:val="Standard"/>
    <w:qFormat/>
    <w:rsid w:val="00096051"/>
    <w:pPr>
      <w:spacing w:after="80" w:line="240" w:lineRule="auto"/>
    </w:pPr>
  </w:style>
  <w:style w:type="paragraph" w:customStyle="1" w:styleId="5EinzugBulletsgrau">
    <w:name w:val="5_Einzug Bullets grau"/>
    <w:basedOn w:val="Standard"/>
    <w:qFormat/>
    <w:rsid w:val="00F052AA"/>
    <w:pPr>
      <w:numPr>
        <w:numId w:val="2"/>
      </w:numPr>
      <w:spacing w:after="80" w:line="240" w:lineRule="auto"/>
      <w:ind w:left="567" w:hanging="227"/>
    </w:pPr>
    <w:rPr>
      <w:i/>
      <w:color w:val="A6A6A6" w:themeColor="background1" w:themeShade="A6"/>
    </w:rPr>
  </w:style>
  <w:style w:type="paragraph" w:customStyle="1" w:styleId="6Schlusssatzrot">
    <w:name w:val="6_Schlusssatz_rot"/>
    <w:basedOn w:val="Standard"/>
    <w:qFormat/>
    <w:rsid w:val="00A353A8"/>
    <w:pPr>
      <w:spacing w:after="80" w:line="240" w:lineRule="auto"/>
    </w:pPr>
    <w:rPr>
      <w:b/>
      <w:color w:val="FF0000"/>
    </w:rPr>
  </w:style>
  <w:style w:type="paragraph" w:customStyle="1" w:styleId="7SchlusssatzrotAufzhlung">
    <w:name w:val="7_Schlusssatz_rot_Aufzählung"/>
    <w:basedOn w:val="6Schlusssatzrot"/>
    <w:qFormat/>
    <w:rsid w:val="00CE5690"/>
    <w:pPr>
      <w:numPr>
        <w:numId w:val="3"/>
      </w:numPr>
      <w:spacing w:after="40"/>
    </w:pPr>
  </w:style>
  <w:style w:type="paragraph" w:customStyle="1" w:styleId="3LauftextBullets">
    <w:name w:val="3_Lauftext_Bullets"/>
    <w:basedOn w:val="2Lauftextnormal"/>
    <w:qFormat/>
    <w:rsid w:val="00571D30"/>
    <w:pPr>
      <w:numPr>
        <w:numId w:val="4"/>
      </w:numPr>
      <w:ind w:left="340" w:hanging="340"/>
    </w:pPr>
  </w:style>
  <w:style w:type="character" w:styleId="Hyperlink">
    <w:name w:val="Hyperlink"/>
    <w:basedOn w:val="Absatz-Standardschriftart"/>
    <w:uiPriority w:val="99"/>
    <w:unhideWhenUsed/>
    <w:rsid w:val="00977044"/>
    <w:rPr>
      <w:color w:val="000000" w:themeColor="hyperlink"/>
      <w:u w:val="single"/>
    </w:rPr>
  </w:style>
  <w:style w:type="character" w:styleId="BesuchterLink">
    <w:name w:val="FollowedHyperlink"/>
    <w:basedOn w:val="Absatz-Standardschriftart"/>
    <w:uiPriority w:val="99"/>
    <w:semiHidden/>
    <w:unhideWhenUsed/>
    <w:rsid w:val="00AC2693"/>
    <w:rPr>
      <w:color w:val="000000" w:themeColor="followedHyperlink"/>
      <w:u w:val="single"/>
    </w:rPr>
  </w:style>
  <w:style w:type="paragraph" w:styleId="Listenabsatz">
    <w:name w:val="List Paragraph"/>
    <w:basedOn w:val="Standard"/>
    <w:uiPriority w:val="34"/>
    <w:qFormat/>
    <w:rsid w:val="008E70E1"/>
    <w:pPr>
      <w:tabs>
        <w:tab w:val="clear" w:pos="340"/>
      </w:tabs>
      <w:ind w:left="720"/>
      <w:contextualSpacing/>
    </w:pPr>
  </w:style>
  <w:style w:type="character" w:styleId="NichtaufgelsteErwhnung">
    <w:name w:val="Unresolved Mention"/>
    <w:basedOn w:val="Absatz-Standardschriftart"/>
    <w:uiPriority w:val="99"/>
    <w:semiHidden/>
    <w:unhideWhenUsed/>
    <w:rsid w:val="00E86EF3"/>
    <w:rPr>
      <w:color w:val="605E5C"/>
      <w:shd w:val="clear" w:color="auto" w:fill="E1DFDD"/>
    </w:rPr>
  </w:style>
  <w:style w:type="table" w:styleId="Tabellenraster">
    <w:name w:val="Table Grid"/>
    <w:basedOn w:val="NormaleTabelle"/>
    <w:uiPriority w:val="39"/>
    <w:rsid w:val="00C6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iss.nailizakon.com/a/altdorf/altdorf.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Local\Temp\Temp1_vorlagen.zip\vorlagen\_Arbeitsblatt.dotx" TargetMode="External"/></Relationships>
</file>

<file path=word/theme/theme1.xml><?xml version="1.0" encoding="utf-8"?>
<a:theme xmlns:a="http://schemas.openxmlformats.org/drawingml/2006/main" name="Office Theme">
  <a:themeElements>
    <a:clrScheme name="URwegs">
      <a:dk1>
        <a:sysClr val="windowText" lastClr="000000"/>
      </a:dk1>
      <a:lt1>
        <a:sysClr val="window" lastClr="FFFFFF"/>
      </a:lt1>
      <a:dk2>
        <a:srgbClr val="CFE3DD"/>
      </a:dk2>
      <a:lt2>
        <a:srgbClr val="E9F1DC"/>
      </a:lt2>
      <a:accent1>
        <a:srgbClr val="FFED01"/>
      </a:accent1>
      <a:accent2>
        <a:srgbClr val="FFC000"/>
      </a:accent2>
      <a:accent3>
        <a:srgbClr val="F6100A"/>
      </a:accent3>
      <a:accent4>
        <a:srgbClr val="7F7F7F"/>
      </a:accent4>
      <a:accent5>
        <a:srgbClr val="A5A5A5"/>
      </a:accent5>
      <a:accent6>
        <a:srgbClr val="C3C3C3"/>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E345-0ED2-42AE-B4F0-351789F2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_Arbeitsblatt.dotx</Template>
  <TotalTime>0</TotalTime>
  <Pages>2</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Aschwanden</dc:creator>
  <cp:keywords/>
  <dc:description/>
  <cp:lastModifiedBy>Felix Aschwanden</cp:lastModifiedBy>
  <cp:revision>4</cp:revision>
  <cp:lastPrinted>2016-09-28T09:32:00Z</cp:lastPrinted>
  <dcterms:created xsi:type="dcterms:W3CDTF">2019-11-14T13:02:00Z</dcterms:created>
  <dcterms:modified xsi:type="dcterms:W3CDTF">2019-12-07T08:05:00Z</dcterms:modified>
</cp:coreProperties>
</file>